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rPr>
      </w:pPr>
      <w:r>
        <w:rPr>
          <w:rFonts w:hint="eastAsia"/>
          <w:sz w:val="28"/>
          <w:szCs w:val="28"/>
        </w:rPr>
        <w:t>什么是IDC？</w:t>
      </w:r>
    </w:p>
    <w:p>
      <w:pPr>
        <w:rPr>
          <w:rFonts w:hint="eastAsia"/>
          <w:sz w:val="28"/>
          <w:szCs w:val="28"/>
        </w:rPr>
      </w:pPr>
    </w:p>
    <w:p>
      <w:pPr>
        <w:rPr>
          <w:rFonts w:hint="eastAsia"/>
          <w:sz w:val="28"/>
          <w:szCs w:val="28"/>
        </w:rPr>
      </w:pPr>
      <w:r>
        <w:rPr>
          <w:rFonts w:hint="eastAsia"/>
          <w:sz w:val="28"/>
          <w:szCs w:val="28"/>
        </w:rPr>
        <w:t>因特网数据中心业务(IDC)是指利用相应的机房设施，以外包出租的方式为用户的服务器等因特网或其他网络的相关设备提供放置、代理维护、系统配置及管理服务，以及提供数据库系统或服务器等设备的出租及其存储空间的出租、通信线路和出口带宽的代理租用和其它应用服务。</w:t>
      </w:r>
    </w:p>
    <w:p>
      <w:pPr>
        <w:rPr>
          <w:rFonts w:hint="eastAsia"/>
          <w:sz w:val="28"/>
          <w:szCs w:val="28"/>
        </w:rPr>
      </w:pPr>
      <w:r>
        <w:rPr>
          <w:rFonts w:hint="eastAsia"/>
          <w:sz w:val="28"/>
          <w:szCs w:val="28"/>
        </w:rPr>
        <w:t>因特网数据中心业务经营者必须提供机房和相应的配套设施，并提供安全保障措施。</w:t>
      </w:r>
    </w:p>
    <w:p>
      <w:pPr>
        <w:rPr>
          <w:rFonts w:hint="eastAsia"/>
          <w:sz w:val="28"/>
          <w:szCs w:val="28"/>
        </w:rPr>
      </w:pPr>
      <w:r>
        <w:rPr>
          <w:rFonts w:hint="eastAsia"/>
          <w:sz w:val="28"/>
          <w:szCs w:val="28"/>
        </w:rPr>
        <w:t>从事因特网数据中心业务就需要办理因特网数据中心业务(IDC)经营许可证。</w:t>
      </w:r>
    </w:p>
    <w:p>
      <w:pPr>
        <w:rPr>
          <w:rFonts w:hint="eastAsia"/>
          <w:sz w:val="28"/>
          <w:szCs w:val="28"/>
        </w:rPr>
      </w:pPr>
    </w:p>
    <w:p>
      <w:pPr>
        <w:rPr>
          <w:rFonts w:hint="eastAsia"/>
          <w:sz w:val="28"/>
          <w:szCs w:val="28"/>
        </w:rPr>
      </w:pPr>
    </w:p>
    <w:p>
      <w:pPr>
        <w:rPr>
          <w:rFonts w:hint="eastAsia"/>
          <w:sz w:val="28"/>
          <w:szCs w:val="28"/>
        </w:rPr>
      </w:pPr>
      <w:r>
        <w:rPr>
          <w:rFonts w:hint="eastAsia"/>
          <w:sz w:val="28"/>
          <w:szCs w:val="28"/>
        </w:rPr>
        <w:t>IDC许可证申请必备条件与所需材料</w:t>
      </w:r>
    </w:p>
    <w:p>
      <w:pPr>
        <w:rPr>
          <w:rFonts w:hint="eastAsia"/>
          <w:sz w:val="28"/>
          <w:szCs w:val="28"/>
        </w:rPr>
      </w:pPr>
    </w:p>
    <w:p>
      <w:pPr>
        <w:rPr>
          <w:rFonts w:hint="eastAsia"/>
          <w:sz w:val="28"/>
          <w:szCs w:val="28"/>
        </w:rPr>
      </w:pPr>
      <w:r>
        <w:rPr>
          <w:rFonts w:hint="eastAsia"/>
          <w:sz w:val="28"/>
          <w:szCs w:val="28"/>
        </w:rPr>
        <w:t>【IDC许可证申请必备条件】</w:t>
      </w:r>
    </w:p>
    <w:p>
      <w:pPr>
        <w:rPr>
          <w:rFonts w:hint="eastAsia"/>
          <w:sz w:val="28"/>
          <w:szCs w:val="28"/>
        </w:rPr>
      </w:pPr>
      <w:r>
        <w:rPr>
          <w:rFonts w:hint="eastAsia"/>
          <w:sz w:val="28"/>
          <w:szCs w:val="28"/>
        </w:rPr>
        <w:t>1、经营者为依法设立的公司</w:t>
      </w:r>
    </w:p>
    <w:p>
      <w:pPr>
        <w:rPr>
          <w:rFonts w:hint="eastAsia"/>
          <w:sz w:val="28"/>
          <w:szCs w:val="28"/>
        </w:rPr>
      </w:pPr>
      <w:r>
        <w:rPr>
          <w:rFonts w:hint="eastAsia"/>
          <w:sz w:val="28"/>
          <w:szCs w:val="28"/>
        </w:rPr>
        <w:t>2、有与开发经营活动相适应的资金(在省、自治区、直辖市范围内经营的，注册资本最低限额为100万元人民币;在全国或者跨省、自治区、直辖市范围经营的，注册资本最低限额为1000万元人民币)和专业人员</w:t>
      </w:r>
    </w:p>
    <w:p>
      <w:pPr>
        <w:rPr>
          <w:rFonts w:hint="eastAsia"/>
          <w:sz w:val="28"/>
          <w:szCs w:val="28"/>
        </w:rPr>
      </w:pPr>
      <w:r>
        <w:rPr>
          <w:rFonts w:hint="eastAsia"/>
          <w:sz w:val="28"/>
          <w:szCs w:val="28"/>
        </w:rPr>
        <w:t>3、有为用户提供长期服务的信誉或者能力</w:t>
      </w:r>
    </w:p>
    <w:p>
      <w:pPr>
        <w:rPr>
          <w:rFonts w:hint="eastAsia"/>
          <w:sz w:val="28"/>
          <w:szCs w:val="28"/>
        </w:rPr>
      </w:pPr>
      <w:r>
        <w:rPr>
          <w:rFonts w:hint="eastAsia"/>
          <w:sz w:val="28"/>
          <w:szCs w:val="28"/>
        </w:rPr>
        <w:t>4、有必要的场地、设施、业务发展计划及相关技术方案</w:t>
      </w:r>
    </w:p>
    <w:p>
      <w:pPr>
        <w:rPr>
          <w:rFonts w:hint="eastAsia"/>
          <w:sz w:val="28"/>
          <w:szCs w:val="28"/>
        </w:rPr>
      </w:pPr>
      <w:r>
        <w:rPr>
          <w:rFonts w:hint="eastAsia"/>
          <w:sz w:val="28"/>
          <w:szCs w:val="28"/>
        </w:rPr>
        <w:t>5、健全的网络与信息安全保障措施，包括网站安全保障措施、信息安全保密管理制度、用户信息安全管理制度</w:t>
      </w:r>
    </w:p>
    <w:p>
      <w:pPr>
        <w:rPr>
          <w:rFonts w:hint="eastAsia"/>
          <w:sz w:val="28"/>
          <w:szCs w:val="28"/>
        </w:rPr>
      </w:pPr>
      <w:r>
        <w:rPr>
          <w:rFonts w:hint="eastAsia"/>
          <w:sz w:val="28"/>
          <w:szCs w:val="28"/>
        </w:rPr>
        <w:t>6、涉及到IDC管理办法中规定须要前置审批的信息服务内容的，已取得有关主管部门同意的文件</w:t>
      </w:r>
    </w:p>
    <w:p>
      <w:pPr>
        <w:rPr>
          <w:rFonts w:hint="eastAsia"/>
          <w:sz w:val="28"/>
          <w:szCs w:val="28"/>
        </w:rPr>
      </w:pPr>
      <w:r>
        <w:rPr>
          <w:rFonts w:hint="eastAsia"/>
          <w:sz w:val="28"/>
          <w:szCs w:val="28"/>
        </w:rPr>
        <w:t>7、国家规定的其他条件</w:t>
      </w:r>
    </w:p>
    <w:p>
      <w:pPr>
        <w:rPr>
          <w:rFonts w:hint="eastAsia"/>
          <w:sz w:val="28"/>
          <w:szCs w:val="28"/>
        </w:rPr>
      </w:pPr>
    </w:p>
    <w:p>
      <w:pPr>
        <w:rPr>
          <w:rFonts w:hint="eastAsia"/>
          <w:sz w:val="28"/>
          <w:szCs w:val="28"/>
        </w:rPr>
      </w:pPr>
      <w:r>
        <w:rPr>
          <w:rFonts w:hint="eastAsia"/>
          <w:sz w:val="28"/>
          <w:szCs w:val="28"/>
        </w:rPr>
        <w:t>【IDC许可证申请所需材料】</w:t>
      </w:r>
    </w:p>
    <w:p>
      <w:pPr>
        <w:rPr>
          <w:rFonts w:hint="eastAsia"/>
          <w:sz w:val="28"/>
          <w:szCs w:val="28"/>
        </w:rPr>
      </w:pPr>
      <w:r>
        <w:rPr>
          <w:rFonts w:hint="eastAsia"/>
          <w:sz w:val="28"/>
          <w:szCs w:val="28"/>
        </w:rPr>
        <w:t>1、公司法定代表人签署的经营增值电信业务的书面申请。内容包括;申请电信业务的种类、业务覆盖范围、公司名称、通信地址、邮政编码、联系人、联系电话、电子信箱地址等;</w:t>
      </w:r>
    </w:p>
    <w:p>
      <w:pPr>
        <w:rPr>
          <w:rFonts w:hint="eastAsia"/>
          <w:sz w:val="28"/>
          <w:szCs w:val="28"/>
        </w:rPr>
      </w:pPr>
      <w:r>
        <w:rPr>
          <w:rFonts w:hint="eastAsia"/>
          <w:sz w:val="28"/>
          <w:szCs w:val="28"/>
        </w:rPr>
        <w:t>2、公司的企业法人营业执照副本及复印件;</w:t>
      </w:r>
    </w:p>
    <w:p>
      <w:pPr>
        <w:rPr>
          <w:rFonts w:hint="eastAsia"/>
          <w:sz w:val="28"/>
          <w:szCs w:val="28"/>
        </w:rPr>
      </w:pPr>
      <w:r>
        <w:rPr>
          <w:rFonts w:hint="eastAsia"/>
          <w:sz w:val="28"/>
          <w:szCs w:val="28"/>
        </w:rPr>
        <w:t>3、公司概况。包括公司基本情况，拟从事增值电信业务的人员、场地和设施等情况;</w:t>
      </w:r>
    </w:p>
    <w:p>
      <w:pPr>
        <w:rPr>
          <w:rFonts w:hint="eastAsia"/>
          <w:sz w:val="28"/>
          <w:szCs w:val="28"/>
        </w:rPr>
      </w:pPr>
      <w:r>
        <w:rPr>
          <w:rFonts w:hint="eastAsia"/>
          <w:sz w:val="28"/>
          <w:szCs w:val="28"/>
        </w:rPr>
        <w:t>4、公司最近经会计师事务所审计的企业法人年度财务会计报告或验资报告及电信主管部门规定的其他相关会计资料;</w:t>
      </w:r>
    </w:p>
    <w:p>
      <w:pPr>
        <w:rPr>
          <w:rFonts w:hint="eastAsia"/>
          <w:sz w:val="28"/>
          <w:szCs w:val="28"/>
        </w:rPr>
      </w:pPr>
      <w:r>
        <w:rPr>
          <w:rFonts w:hint="eastAsia"/>
          <w:sz w:val="28"/>
          <w:szCs w:val="28"/>
        </w:rPr>
        <w:t>5、公司章程，公司股权结构及股东的有关情况;</w:t>
      </w:r>
    </w:p>
    <w:p>
      <w:pPr>
        <w:rPr>
          <w:rFonts w:hint="eastAsia"/>
          <w:sz w:val="28"/>
          <w:szCs w:val="28"/>
        </w:rPr>
      </w:pPr>
      <w:r>
        <w:rPr>
          <w:rFonts w:hint="eastAsia"/>
          <w:sz w:val="28"/>
          <w:szCs w:val="28"/>
        </w:rPr>
        <w:t>6、业务发展可行性研究报告和技术方案。包括申请经营电信业务的业务发展和实施计划、技术方案、服务项目、业务覆盖范围、市场调研与分析、收费方案、预期服务质量、投资分析、社会效益和经济效益等;</w:t>
      </w:r>
    </w:p>
    <w:p>
      <w:pPr>
        <w:rPr>
          <w:rFonts w:hint="eastAsia"/>
          <w:sz w:val="28"/>
          <w:szCs w:val="28"/>
        </w:rPr>
      </w:pPr>
      <w:r>
        <w:rPr>
          <w:rFonts w:hint="eastAsia"/>
          <w:sz w:val="28"/>
          <w:szCs w:val="28"/>
        </w:rPr>
        <w:t>7、为用户提供长期服务和质量保障的措施;</w:t>
      </w:r>
    </w:p>
    <w:p>
      <w:pPr>
        <w:rPr>
          <w:rFonts w:hint="eastAsia"/>
          <w:sz w:val="28"/>
          <w:szCs w:val="28"/>
        </w:rPr>
      </w:pPr>
      <w:r>
        <w:rPr>
          <w:rFonts w:hint="eastAsia"/>
          <w:sz w:val="28"/>
          <w:szCs w:val="28"/>
        </w:rPr>
        <w:t>8、信息安全保障措施;</w:t>
      </w:r>
    </w:p>
    <w:p>
      <w:pPr>
        <w:rPr>
          <w:rFonts w:hint="eastAsia"/>
          <w:sz w:val="28"/>
          <w:szCs w:val="28"/>
        </w:rPr>
      </w:pPr>
      <w:r>
        <w:rPr>
          <w:rFonts w:hint="eastAsia"/>
          <w:sz w:val="28"/>
          <w:szCs w:val="28"/>
        </w:rPr>
        <w:t>9、证明公司信誉的有关材料;</w:t>
      </w:r>
    </w:p>
    <w:p>
      <w:pPr>
        <w:rPr>
          <w:rFonts w:hint="eastAsia"/>
          <w:sz w:val="28"/>
          <w:szCs w:val="28"/>
        </w:rPr>
      </w:pPr>
      <w:r>
        <w:rPr>
          <w:rFonts w:hint="eastAsia"/>
          <w:sz w:val="28"/>
          <w:szCs w:val="28"/>
        </w:rPr>
        <w:t>10、公司法定代表人签署的公司依法经营电信业务的承诺书;</w:t>
      </w:r>
    </w:p>
    <w:p>
      <w:pPr>
        <w:rPr>
          <w:rFonts w:hint="eastAsia"/>
          <w:sz w:val="28"/>
          <w:szCs w:val="28"/>
        </w:rPr>
      </w:pPr>
      <w:r>
        <w:rPr>
          <w:rFonts w:hint="eastAsia"/>
          <w:sz w:val="28"/>
          <w:szCs w:val="28"/>
        </w:rPr>
        <w:t>11、申请经营的电信业务依照法律、行政法规及国家有关规定须经有关主管部门事先审核同意的，应当提交有关主管部门审核同意的文件。</w:t>
      </w:r>
    </w:p>
    <w:p>
      <w:pPr>
        <w:rPr>
          <w:rFonts w:hint="eastAsia"/>
          <w:sz w:val="28"/>
          <w:szCs w:val="28"/>
        </w:rPr>
      </w:pPr>
    </w:p>
    <w:p>
      <w:pPr>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"http://sysisp.com/data/upfiles/image/20160229153409_64748.png"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5648325" cy="74961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648325" cy="7496175"/>
                    </a:xfrm>
                    <a:prstGeom prst="rect">
                      <a:avLst/>
                    </a:prstGeom>
                    <a:noFill/>
                    <a:ln w="9525">
                      <a:noFill/>
                    </a:ln>
                  </pic:spPr>
                </pic:pic>
              </a:graphicData>
            </a:graphic>
          </wp:inline>
        </w:drawing>
      </w:r>
      <w:r>
        <w:rPr>
          <w:rFonts w:ascii="宋体" w:hAnsi="宋体" w:eastAsia="宋体" w:cs="宋体"/>
          <w:sz w:val="24"/>
          <w:szCs w:val="24"/>
        </w:rPr>
        <w:fldChar w:fldCharType="end"/>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drawing>
          <wp:inline distT="0" distB="0" distL="114300" distR="114300">
            <wp:extent cx="5265420" cy="2985770"/>
            <wp:effectExtent l="0" t="0" r="11430" b="5080"/>
            <wp:docPr id="4" name="图片 4" descr="20160229120604_80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160229120604_80267"/>
                    <pic:cNvPicPr>
                      <a:picLocks noChangeAspect="1"/>
                    </pic:cNvPicPr>
                  </pic:nvPicPr>
                  <pic:blipFill>
                    <a:blip r:embed="rId5"/>
                    <a:stretch>
                      <a:fillRect/>
                    </a:stretch>
                  </pic:blipFill>
                  <pic:spPr>
                    <a:xfrm>
                      <a:off x="0" y="0"/>
                      <a:ext cx="5265420" cy="2985770"/>
                    </a:xfrm>
                    <a:prstGeom prst="rect">
                      <a:avLst/>
                    </a:prstGeom>
                  </pic:spPr>
                </pic:pic>
              </a:graphicData>
            </a:graphic>
          </wp:inline>
        </w:drawing>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drawing>
          <wp:inline distT="0" distB="0" distL="114300" distR="114300">
            <wp:extent cx="5265420" cy="1395095"/>
            <wp:effectExtent l="0" t="0" r="11430" b="14605"/>
            <wp:docPr id="9" name="图片 9" descr="20160229121317_17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0160229121317_17879"/>
                    <pic:cNvPicPr>
                      <a:picLocks noChangeAspect="1"/>
                    </pic:cNvPicPr>
                  </pic:nvPicPr>
                  <pic:blipFill>
                    <a:blip r:embed="rId6"/>
                    <a:stretch>
                      <a:fillRect/>
                    </a:stretch>
                  </pic:blipFill>
                  <pic:spPr>
                    <a:xfrm>
                      <a:off x="0" y="0"/>
                      <a:ext cx="5265420" cy="1395095"/>
                    </a:xfrm>
                    <a:prstGeom prst="rect">
                      <a:avLst/>
                    </a:prstGeom>
                  </pic:spPr>
                </pic:pic>
              </a:graphicData>
            </a:graphic>
          </wp:inline>
        </w:drawing>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drawing>
          <wp:inline distT="0" distB="0" distL="114300" distR="114300">
            <wp:extent cx="5265420" cy="4082415"/>
            <wp:effectExtent l="0" t="0" r="11430" b="13335"/>
            <wp:docPr id="6" name="图片 6" descr="20160229121344_81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0160229121344_81855"/>
                    <pic:cNvPicPr>
                      <a:picLocks noChangeAspect="1"/>
                    </pic:cNvPicPr>
                  </pic:nvPicPr>
                  <pic:blipFill>
                    <a:blip r:embed="rId7"/>
                    <a:stretch>
                      <a:fillRect/>
                    </a:stretch>
                  </pic:blipFill>
                  <pic:spPr>
                    <a:xfrm>
                      <a:off x="0" y="0"/>
                      <a:ext cx="5265420" cy="4082415"/>
                    </a:xfrm>
                    <a:prstGeom prst="rect">
                      <a:avLst/>
                    </a:prstGeom>
                  </pic:spPr>
                </pic:pic>
              </a:graphicData>
            </a:graphic>
          </wp:inline>
        </w:drawing>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drawing>
          <wp:inline distT="0" distB="0" distL="114300" distR="114300">
            <wp:extent cx="5265420" cy="1286510"/>
            <wp:effectExtent l="0" t="0" r="11430" b="8890"/>
            <wp:docPr id="8" name="图片 8" descr="20160229122649_30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20160229122649_30882"/>
                    <pic:cNvPicPr>
                      <a:picLocks noChangeAspect="1"/>
                    </pic:cNvPicPr>
                  </pic:nvPicPr>
                  <pic:blipFill>
                    <a:blip r:embed="rId8"/>
                    <a:stretch>
                      <a:fillRect/>
                    </a:stretch>
                  </pic:blipFill>
                  <pic:spPr>
                    <a:xfrm>
                      <a:off x="0" y="0"/>
                      <a:ext cx="5265420" cy="1286510"/>
                    </a:xfrm>
                    <a:prstGeom prst="rect">
                      <a:avLst/>
                    </a:prstGeom>
                  </pic:spPr>
                </pic:pic>
              </a:graphicData>
            </a:graphic>
          </wp:inline>
        </w:drawing>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drawing>
          <wp:inline distT="0" distB="0" distL="114300" distR="114300">
            <wp:extent cx="5265420" cy="3328035"/>
            <wp:effectExtent l="0" t="0" r="11430" b="5715"/>
            <wp:docPr id="10" name="图片 10" descr="20160229123729_32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60229123729_32393"/>
                    <pic:cNvPicPr>
                      <a:picLocks noChangeAspect="1"/>
                    </pic:cNvPicPr>
                  </pic:nvPicPr>
                  <pic:blipFill>
                    <a:blip r:embed="rId9"/>
                    <a:stretch>
                      <a:fillRect/>
                    </a:stretch>
                  </pic:blipFill>
                  <pic:spPr>
                    <a:xfrm>
                      <a:off x="0" y="0"/>
                      <a:ext cx="5265420" cy="3328035"/>
                    </a:xfrm>
                    <a:prstGeom prst="rect">
                      <a:avLst/>
                    </a:prstGeom>
                  </pic:spPr>
                </pic:pic>
              </a:graphicData>
            </a:graphic>
          </wp:inline>
        </w:drawing>
      </w:r>
    </w:p>
    <w:p>
      <w:pPr>
        <w:rPr>
          <w:rFonts w:hint="eastAsia" w:ascii="宋体" w:hAnsi="宋体" w:eastAsia="宋体" w:cs="宋体"/>
          <w:sz w:val="24"/>
          <w:szCs w:val="24"/>
          <w:lang w:eastAsia="zh-CN"/>
        </w:rPr>
      </w:pPr>
    </w:p>
    <w:p>
      <w:pPr>
        <w:numPr>
          <w:ilvl w:val="0"/>
          <w:numId w:val="1"/>
        </w:numPr>
        <w:rPr>
          <w:rFonts w:ascii="宋体" w:hAnsi="宋体" w:eastAsia="宋体" w:cs="宋体"/>
          <w:b w:val="0"/>
          <w:i w:val="0"/>
          <w:caps w:val="0"/>
          <w:color w:val="666666"/>
          <w:spacing w:val="0"/>
          <w:sz w:val="36"/>
          <w:szCs w:val="36"/>
        </w:rPr>
      </w:pPr>
      <w:r>
        <w:rPr>
          <w:rFonts w:ascii="宋体" w:hAnsi="宋体" w:eastAsia="宋体" w:cs="宋体"/>
          <w:b w:val="0"/>
          <w:i w:val="0"/>
          <w:caps w:val="0"/>
          <w:color w:val="666666"/>
          <w:spacing w:val="0"/>
          <w:sz w:val="36"/>
          <w:szCs w:val="36"/>
        </w:rPr>
        <w:t>机房运行安全评测</w:t>
      </w:r>
    </w:p>
    <w:p>
      <w:pPr>
        <w:numPr>
          <w:ilvl w:val="0"/>
          <w:numId w:val="0"/>
        </w:numPr>
        <w:rPr>
          <w:rFonts w:hint="eastAsia" w:ascii="宋体" w:hAnsi="宋体" w:eastAsia="宋体" w:cs="宋体"/>
          <w:b w:val="0"/>
          <w:i w:val="0"/>
          <w:caps w:val="0"/>
          <w:color w:val="666666"/>
          <w:spacing w:val="0"/>
          <w:sz w:val="36"/>
          <w:szCs w:val="36"/>
          <w:lang w:eastAsia="zh-CN"/>
        </w:rPr>
      </w:pPr>
      <w:r>
        <w:rPr>
          <w:rFonts w:hint="eastAsia" w:ascii="宋体" w:hAnsi="宋体" w:eastAsia="宋体" w:cs="宋体"/>
          <w:b w:val="0"/>
          <w:i w:val="0"/>
          <w:caps w:val="0"/>
          <w:color w:val="666666"/>
          <w:spacing w:val="0"/>
          <w:sz w:val="36"/>
          <w:szCs w:val="36"/>
          <w:lang w:eastAsia="zh-CN"/>
        </w:rPr>
        <w:drawing>
          <wp:inline distT="0" distB="0" distL="114300" distR="114300">
            <wp:extent cx="5265420" cy="1736725"/>
            <wp:effectExtent l="0" t="0" r="11430" b="15875"/>
            <wp:docPr id="11" name="图片 11" descr="20160229154715_38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20160229154715_38364"/>
                    <pic:cNvPicPr>
                      <a:picLocks noChangeAspect="1"/>
                    </pic:cNvPicPr>
                  </pic:nvPicPr>
                  <pic:blipFill>
                    <a:blip r:embed="rId10"/>
                    <a:stretch>
                      <a:fillRect/>
                    </a:stretch>
                  </pic:blipFill>
                  <pic:spPr>
                    <a:xfrm>
                      <a:off x="0" y="0"/>
                      <a:ext cx="5265420" cy="1736725"/>
                    </a:xfrm>
                    <a:prstGeom prst="rect">
                      <a:avLst/>
                    </a:prstGeom>
                  </pic:spPr>
                </pic:pic>
              </a:graphicData>
            </a:graphic>
          </wp:inline>
        </w:drawing>
      </w:r>
    </w:p>
    <w:p>
      <w:pPr>
        <w:numPr>
          <w:ilvl w:val="0"/>
          <w:numId w:val="0"/>
        </w:numPr>
        <w:rPr>
          <w:rFonts w:hint="eastAsia" w:ascii="宋体" w:hAnsi="宋体" w:eastAsia="宋体" w:cs="宋体"/>
          <w:b w:val="0"/>
          <w:i w:val="0"/>
          <w:caps w:val="0"/>
          <w:color w:val="666666"/>
          <w:spacing w:val="0"/>
          <w:sz w:val="36"/>
          <w:szCs w:val="36"/>
          <w:lang w:eastAsia="zh-CN"/>
        </w:rPr>
      </w:pPr>
    </w:p>
    <w:p>
      <w:pPr>
        <w:numPr>
          <w:ilvl w:val="0"/>
          <w:numId w:val="0"/>
        </w:numPr>
        <w:rPr>
          <w:rFonts w:hint="eastAsia" w:ascii="宋体" w:hAnsi="宋体" w:eastAsia="宋体" w:cs="宋体"/>
          <w:b w:val="0"/>
          <w:i w:val="0"/>
          <w:caps w:val="0"/>
          <w:color w:val="666666"/>
          <w:spacing w:val="0"/>
          <w:sz w:val="36"/>
          <w:szCs w:val="36"/>
          <w:lang w:eastAsia="zh-CN"/>
        </w:rPr>
      </w:pPr>
    </w:p>
    <w:p>
      <w:pPr>
        <w:numPr>
          <w:ilvl w:val="0"/>
          <w:numId w:val="0"/>
        </w:numPr>
        <w:rPr>
          <w:rFonts w:hint="eastAsia" w:ascii="宋体" w:hAnsi="宋体" w:eastAsia="宋体" w:cs="宋体"/>
          <w:b w:val="0"/>
          <w:i w:val="0"/>
          <w:caps w:val="0"/>
          <w:color w:val="666666"/>
          <w:spacing w:val="0"/>
          <w:sz w:val="36"/>
          <w:szCs w:val="36"/>
          <w:lang w:eastAsia="zh-CN"/>
        </w:rPr>
      </w:pPr>
      <w:r>
        <w:rPr>
          <w:rFonts w:hint="eastAsia" w:ascii="宋体" w:hAnsi="宋体" w:eastAsia="宋体" w:cs="宋体"/>
          <w:b w:val="0"/>
          <w:i w:val="0"/>
          <w:caps w:val="0"/>
          <w:color w:val="666666"/>
          <w:spacing w:val="0"/>
          <w:sz w:val="36"/>
          <w:szCs w:val="36"/>
          <w:lang w:eastAsia="zh-CN"/>
        </w:rPr>
        <w:t>IDC机房评测指标</w:t>
      </w:r>
    </w:p>
    <w:p>
      <w:pPr>
        <w:numPr>
          <w:ilvl w:val="0"/>
          <w:numId w:val="0"/>
        </w:numPr>
        <w:rPr>
          <w:rFonts w:hint="eastAsia" w:ascii="宋体" w:hAnsi="宋体" w:eastAsia="宋体" w:cs="宋体"/>
          <w:b w:val="0"/>
          <w:i w:val="0"/>
          <w:caps w:val="0"/>
          <w:color w:val="666666"/>
          <w:spacing w:val="0"/>
          <w:sz w:val="36"/>
          <w:szCs w:val="36"/>
          <w:lang w:eastAsia="zh-CN"/>
        </w:rPr>
      </w:pPr>
    </w:p>
    <w:p>
      <w:pPr>
        <w:numPr>
          <w:ilvl w:val="0"/>
          <w:numId w:val="0"/>
        </w:numPr>
        <w:rPr>
          <w:rFonts w:hint="eastAsia" w:ascii="宋体" w:hAnsi="宋体" w:eastAsia="宋体" w:cs="宋体"/>
          <w:b w:val="0"/>
          <w:i w:val="0"/>
          <w:caps w:val="0"/>
          <w:color w:val="666666"/>
          <w:spacing w:val="0"/>
          <w:sz w:val="36"/>
          <w:szCs w:val="36"/>
          <w:lang w:eastAsia="zh-CN"/>
        </w:rPr>
      </w:pPr>
      <w:r>
        <w:rPr>
          <w:rFonts w:hint="eastAsia" w:ascii="宋体" w:hAnsi="宋体" w:eastAsia="宋体" w:cs="宋体"/>
          <w:b w:val="0"/>
          <w:i w:val="0"/>
          <w:caps w:val="0"/>
          <w:color w:val="666666"/>
          <w:spacing w:val="0"/>
          <w:sz w:val="36"/>
          <w:szCs w:val="36"/>
          <w:lang w:eastAsia="zh-CN"/>
        </w:rPr>
        <w:t>一、外部环境</w:t>
      </w:r>
    </w:p>
    <w:p>
      <w:pPr>
        <w:numPr>
          <w:ilvl w:val="0"/>
          <w:numId w:val="0"/>
        </w:numPr>
        <w:rPr>
          <w:rFonts w:hint="eastAsia" w:ascii="宋体" w:hAnsi="宋体" w:eastAsia="宋体" w:cs="宋体"/>
          <w:b w:val="0"/>
          <w:i w:val="0"/>
          <w:caps w:val="0"/>
          <w:color w:val="666666"/>
          <w:spacing w:val="0"/>
          <w:sz w:val="36"/>
          <w:szCs w:val="36"/>
          <w:lang w:eastAsia="zh-CN"/>
        </w:rPr>
      </w:pPr>
      <w:r>
        <w:rPr>
          <w:rFonts w:hint="eastAsia" w:ascii="宋体" w:hAnsi="宋体" w:eastAsia="宋体" w:cs="宋体"/>
          <w:b w:val="0"/>
          <w:i w:val="0"/>
          <w:caps w:val="0"/>
          <w:color w:val="666666"/>
          <w:spacing w:val="0"/>
          <w:sz w:val="36"/>
          <w:szCs w:val="36"/>
          <w:lang w:eastAsia="zh-CN"/>
        </w:rPr>
        <w:t>（1）应远离产生粉尘、油烟、有害气体以及生产或存储具有腐蚀性、易燃、易爆物品的场所。</w:t>
      </w:r>
    </w:p>
    <w:p>
      <w:pPr>
        <w:numPr>
          <w:ilvl w:val="0"/>
          <w:numId w:val="0"/>
        </w:numPr>
        <w:rPr>
          <w:rFonts w:hint="eastAsia" w:ascii="宋体" w:hAnsi="宋体" w:eastAsia="宋体" w:cs="宋体"/>
          <w:b w:val="0"/>
          <w:i w:val="0"/>
          <w:caps w:val="0"/>
          <w:color w:val="666666"/>
          <w:spacing w:val="0"/>
          <w:sz w:val="36"/>
          <w:szCs w:val="36"/>
          <w:lang w:eastAsia="zh-CN"/>
        </w:rPr>
      </w:pPr>
      <w:r>
        <w:rPr>
          <w:rFonts w:hint="eastAsia" w:ascii="宋体" w:hAnsi="宋体" w:eastAsia="宋体" w:cs="宋体"/>
          <w:b w:val="0"/>
          <w:i w:val="0"/>
          <w:caps w:val="0"/>
          <w:color w:val="666666"/>
          <w:spacing w:val="0"/>
          <w:sz w:val="36"/>
          <w:szCs w:val="36"/>
          <w:lang w:eastAsia="zh-CN"/>
        </w:rPr>
        <w:t>（2）应远离水灾和火灾隐患区域。</w:t>
      </w:r>
    </w:p>
    <w:p>
      <w:pPr>
        <w:numPr>
          <w:ilvl w:val="0"/>
          <w:numId w:val="0"/>
        </w:numPr>
        <w:rPr>
          <w:rFonts w:hint="eastAsia" w:ascii="宋体" w:hAnsi="宋体" w:eastAsia="宋体" w:cs="宋体"/>
          <w:b w:val="0"/>
          <w:i w:val="0"/>
          <w:caps w:val="0"/>
          <w:color w:val="666666"/>
          <w:spacing w:val="0"/>
          <w:sz w:val="36"/>
          <w:szCs w:val="36"/>
          <w:lang w:eastAsia="zh-CN"/>
        </w:rPr>
      </w:pPr>
      <w:r>
        <w:rPr>
          <w:rFonts w:hint="eastAsia" w:ascii="宋体" w:hAnsi="宋体" w:eastAsia="宋体" w:cs="宋体"/>
          <w:b w:val="0"/>
          <w:i w:val="0"/>
          <w:caps w:val="0"/>
          <w:color w:val="666666"/>
          <w:spacing w:val="0"/>
          <w:sz w:val="36"/>
          <w:szCs w:val="36"/>
          <w:lang w:eastAsia="zh-CN"/>
        </w:rPr>
        <w:t>二、建筑安全</w:t>
      </w:r>
    </w:p>
    <w:p>
      <w:pPr>
        <w:numPr>
          <w:ilvl w:val="0"/>
          <w:numId w:val="0"/>
        </w:numPr>
        <w:rPr>
          <w:rFonts w:hint="eastAsia" w:ascii="宋体" w:hAnsi="宋体" w:eastAsia="宋体" w:cs="宋体"/>
          <w:b w:val="0"/>
          <w:i w:val="0"/>
          <w:caps w:val="0"/>
          <w:color w:val="666666"/>
          <w:spacing w:val="0"/>
          <w:sz w:val="36"/>
          <w:szCs w:val="36"/>
          <w:lang w:eastAsia="zh-CN"/>
        </w:rPr>
      </w:pPr>
      <w:r>
        <w:rPr>
          <w:rFonts w:hint="eastAsia" w:ascii="宋体" w:hAnsi="宋体" w:eastAsia="宋体" w:cs="宋体"/>
          <w:b w:val="0"/>
          <w:i w:val="0"/>
          <w:caps w:val="0"/>
          <w:color w:val="666666"/>
          <w:spacing w:val="0"/>
          <w:sz w:val="36"/>
          <w:szCs w:val="36"/>
          <w:lang w:eastAsia="zh-CN"/>
        </w:rPr>
        <w:t>（1）机房建筑的耐火等级：不低于二级。</w:t>
      </w:r>
    </w:p>
    <w:p>
      <w:pPr>
        <w:numPr>
          <w:ilvl w:val="0"/>
          <w:numId w:val="0"/>
        </w:numPr>
        <w:rPr>
          <w:rFonts w:hint="eastAsia" w:ascii="宋体" w:hAnsi="宋体" w:eastAsia="宋体" w:cs="宋体"/>
          <w:b w:val="0"/>
          <w:i w:val="0"/>
          <w:caps w:val="0"/>
          <w:color w:val="666666"/>
          <w:spacing w:val="0"/>
          <w:sz w:val="36"/>
          <w:szCs w:val="36"/>
          <w:lang w:eastAsia="zh-CN"/>
        </w:rPr>
      </w:pPr>
      <w:r>
        <w:rPr>
          <w:rFonts w:hint="eastAsia" w:ascii="宋体" w:hAnsi="宋体" w:eastAsia="宋体" w:cs="宋体"/>
          <w:b w:val="0"/>
          <w:i w:val="0"/>
          <w:caps w:val="0"/>
          <w:color w:val="666666"/>
          <w:spacing w:val="0"/>
          <w:sz w:val="36"/>
          <w:szCs w:val="36"/>
          <w:lang w:eastAsia="zh-CN"/>
        </w:rPr>
        <w:t>（2）IDC机房主机房楼面活荷载要求为主机房在8KN/㎡-10KN/㎡之间。</w:t>
      </w:r>
    </w:p>
    <w:p>
      <w:pPr>
        <w:numPr>
          <w:ilvl w:val="0"/>
          <w:numId w:val="0"/>
        </w:numPr>
        <w:rPr>
          <w:rFonts w:hint="eastAsia" w:ascii="宋体" w:hAnsi="宋体" w:eastAsia="宋体" w:cs="宋体"/>
          <w:b w:val="0"/>
          <w:i w:val="0"/>
          <w:caps w:val="0"/>
          <w:color w:val="666666"/>
          <w:spacing w:val="0"/>
          <w:sz w:val="36"/>
          <w:szCs w:val="36"/>
          <w:lang w:eastAsia="zh-CN"/>
        </w:rPr>
      </w:pPr>
      <w:r>
        <w:rPr>
          <w:rFonts w:hint="eastAsia" w:ascii="宋体" w:hAnsi="宋体" w:eastAsia="宋体" w:cs="宋体"/>
          <w:b w:val="0"/>
          <w:i w:val="0"/>
          <w:caps w:val="0"/>
          <w:color w:val="666666"/>
          <w:spacing w:val="0"/>
          <w:sz w:val="36"/>
          <w:szCs w:val="36"/>
          <w:lang w:eastAsia="zh-CN"/>
        </w:rPr>
        <w:t>（3）抗震设防分类：不应低于丙类</w:t>
      </w:r>
    </w:p>
    <w:p>
      <w:pPr>
        <w:numPr>
          <w:ilvl w:val="0"/>
          <w:numId w:val="0"/>
        </w:numPr>
        <w:rPr>
          <w:rFonts w:hint="eastAsia" w:ascii="宋体" w:hAnsi="宋体" w:eastAsia="宋体" w:cs="宋体"/>
          <w:b w:val="0"/>
          <w:i w:val="0"/>
          <w:caps w:val="0"/>
          <w:color w:val="666666"/>
          <w:spacing w:val="0"/>
          <w:sz w:val="36"/>
          <w:szCs w:val="36"/>
          <w:lang w:eastAsia="zh-CN"/>
        </w:rPr>
      </w:pPr>
      <w:r>
        <w:rPr>
          <w:rFonts w:hint="eastAsia" w:ascii="宋体" w:hAnsi="宋体" w:eastAsia="宋体" w:cs="宋体"/>
          <w:b w:val="0"/>
          <w:i w:val="0"/>
          <w:caps w:val="0"/>
          <w:color w:val="666666"/>
          <w:spacing w:val="0"/>
          <w:sz w:val="36"/>
          <w:szCs w:val="36"/>
          <w:lang w:eastAsia="zh-CN"/>
        </w:rPr>
        <w:t>（4）对机房划分区域管理。IDC机房功能分区宜包括：主机房区、辅助区、支持区等功能区组成。</w:t>
      </w:r>
    </w:p>
    <w:p>
      <w:pPr>
        <w:numPr>
          <w:ilvl w:val="0"/>
          <w:numId w:val="0"/>
        </w:numPr>
        <w:rPr>
          <w:rFonts w:hint="eastAsia" w:ascii="宋体" w:hAnsi="宋体" w:eastAsia="宋体" w:cs="宋体"/>
          <w:b w:val="0"/>
          <w:i w:val="0"/>
          <w:caps w:val="0"/>
          <w:color w:val="666666"/>
          <w:spacing w:val="0"/>
          <w:sz w:val="36"/>
          <w:szCs w:val="36"/>
          <w:lang w:eastAsia="zh-CN"/>
        </w:rPr>
      </w:pPr>
      <w:r>
        <w:rPr>
          <w:rFonts w:hint="eastAsia" w:ascii="宋体" w:hAnsi="宋体" w:eastAsia="宋体" w:cs="宋体"/>
          <w:b w:val="0"/>
          <w:i w:val="0"/>
          <w:caps w:val="0"/>
          <w:color w:val="666666"/>
          <w:spacing w:val="0"/>
          <w:sz w:val="36"/>
          <w:szCs w:val="36"/>
          <w:lang w:eastAsia="zh-CN"/>
        </w:rPr>
        <w:t>三、供电安全</w:t>
      </w:r>
    </w:p>
    <w:p>
      <w:pPr>
        <w:numPr>
          <w:ilvl w:val="0"/>
          <w:numId w:val="0"/>
        </w:numPr>
        <w:rPr>
          <w:rFonts w:hint="eastAsia" w:ascii="宋体" w:hAnsi="宋体" w:eastAsia="宋体" w:cs="宋体"/>
          <w:b w:val="0"/>
          <w:i w:val="0"/>
          <w:caps w:val="0"/>
          <w:color w:val="666666"/>
          <w:spacing w:val="0"/>
          <w:sz w:val="36"/>
          <w:szCs w:val="36"/>
          <w:lang w:eastAsia="zh-CN"/>
        </w:rPr>
      </w:pPr>
      <w:r>
        <w:rPr>
          <w:rFonts w:hint="eastAsia" w:ascii="宋体" w:hAnsi="宋体" w:eastAsia="宋体" w:cs="宋体"/>
          <w:b w:val="0"/>
          <w:i w:val="0"/>
          <w:caps w:val="0"/>
          <w:color w:val="666666"/>
          <w:spacing w:val="0"/>
          <w:sz w:val="36"/>
          <w:szCs w:val="36"/>
          <w:lang w:eastAsia="zh-CN"/>
        </w:rPr>
        <w:t>（1）应当采用两路市电供电方式，两路市电应当从两个稳定可靠的独立电源引入，两路市电不能因检修同时停电。当不具备引入两路市电的条件时，应当配置一套发电机组。发电机组的容量应当能同时满足通信负荷功率、蓄电池组充电功率、机房保证空调以及照明、消防电梯、消防水泵等其他保证负荷功率。</w:t>
      </w:r>
    </w:p>
    <w:p>
      <w:pPr>
        <w:numPr>
          <w:ilvl w:val="0"/>
          <w:numId w:val="0"/>
        </w:numPr>
        <w:rPr>
          <w:rFonts w:hint="eastAsia" w:ascii="宋体" w:hAnsi="宋体" w:eastAsia="宋体" w:cs="宋体"/>
          <w:b w:val="0"/>
          <w:i w:val="0"/>
          <w:caps w:val="0"/>
          <w:color w:val="666666"/>
          <w:spacing w:val="0"/>
          <w:sz w:val="36"/>
          <w:szCs w:val="36"/>
          <w:lang w:eastAsia="zh-CN"/>
        </w:rPr>
      </w:pPr>
      <w:r>
        <w:rPr>
          <w:rFonts w:hint="eastAsia" w:ascii="宋体" w:hAnsi="宋体" w:eastAsia="宋体" w:cs="宋体"/>
          <w:b w:val="0"/>
          <w:i w:val="0"/>
          <w:caps w:val="0"/>
          <w:color w:val="666666"/>
          <w:spacing w:val="0"/>
          <w:sz w:val="36"/>
          <w:szCs w:val="36"/>
          <w:lang w:eastAsia="zh-CN"/>
        </w:rPr>
        <w:t>（2）机房供电线路应当配置过电压防护设备，并根据需要配置稳压器。</w:t>
      </w:r>
    </w:p>
    <w:p>
      <w:pPr>
        <w:numPr>
          <w:ilvl w:val="0"/>
          <w:numId w:val="0"/>
        </w:numPr>
        <w:rPr>
          <w:rFonts w:hint="eastAsia" w:ascii="宋体" w:hAnsi="宋体" w:eastAsia="宋体" w:cs="宋体"/>
          <w:b w:val="0"/>
          <w:i w:val="0"/>
          <w:caps w:val="0"/>
          <w:color w:val="666666"/>
          <w:spacing w:val="0"/>
          <w:sz w:val="36"/>
          <w:szCs w:val="36"/>
          <w:lang w:eastAsia="zh-CN"/>
        </w:rPr>
      </w:pPr>
      <w:r>
        <w:rPr>
          <w:rFonts w:hint="eastAsia" w:ascii="宋体" w:hAnsi="宋体" w:eastAsia="宋体" w:cs="宋体"/>
          <w:b w:val="0"/>
          <w:i w:val="0"/>
          <w:caps w:val="0"/>
          <w:color w:val="666666"/>
          <w:spacing w:val="0"/>
          <w:sz w:val="36"/>
          <w:szCs w:val="36"/>
          <w:lang w:eastAsia="zh-CN"/>
        </w:rPr>
        <w:t>（3）储油间设置在IDC机房内时，其总储存量不应超过8.00h的需求量，且储油间应采用防火墙与发电机隔开。储油容器应当设置水位监测点，防止储油容器进水导致发电机组无法启动。</w:t>
      </w:r>
    </w:p>
    <w:p>
      <w:pPr>
        <w:numPr>
          <w:ilvl w:val="0"/>
          <w:numId w:val="0"/>
        </w:numPr>
        <w:rPr>
          <w:rFonts w:hint="eastAsia" w:ascii="宋体" w:hAnsi="宋体" w:eastAsia="宋体" w:cs="宋体"/>
          <w:b w:val="0"/>
          <w:i w:val="0"/>
          <w:caps w:val="0"/>
          <w:color w:val="666666"/>
          <w:spacing w:val="0"/>
          <w:sz w:val="36"/>
          <w:szCs w:val="36"/>
          <w:lang w:eastAsia="zh-CN"/>
        </w:rPr>
      </w:pPr>
      <w:r>
        <w:rPr>
          <w:rFonts w:hint="eastAsia" w:ascii="宋体" w:hAnsi="宋体" w:eastAsia="宋体" w:cs="宋体"/>
          <w:b w:val="0"/>
          <w:i w:val="0"/>
          <w:caps w:val="0"/>
          <w:color w:val="666666"/>
          <w:spacing w:val="0"/>
          <w:sz w:val="36"/>
          <w:szCs w:val="36"/>
          <w:lang w:eastAsia="zh-CN"/>
        </w:rPr>
        <w:t>（4）交流电源线、直流电源线、信号线严禁交叉、重叠。双回路配电的线路应当分开敷设，暂时无法分开时应当采用规范的防护隔离措施。</w:t>
      </w:r>
    </w:p>
    <w:p>
      <w:pPr>
        <w:numPr>
          <w:ilvl w:val="0"/>
          <w:numId w:val="0"/>
        </w:numPr>
        <w:rPr>
          <w:rFonts w:hint="eastAsia" w:ascii="宋体" w:hAnsi="宋体" w:eastAsia="宋体" w:cs="宋体"/>
          <w:b w:val="0"/>
          <w:i w:val="0"/>
          <w:caps w:val="0"/>
          <w:color w:val="666666"/>
          <w:spacing w:val="0"/>
          <w:sz w:val="36"/>
          <w:szCs w:val="36"/>
          <w:lang w:eastAsia="zh-CN"/>
        </w:rPr>
      </w:pPr>
      <w:r>
        <w:rPr>
          <w:rFonts w:hint="eastAsia" w:ascii="宋体" w:hAnsi="宋体" w:eastAsia="宋体" w:cs="宋体"/>
          <w:b w:val="0"/>
          <w:i w:val="0"/>
          <w:caps w:val="0"/>
          <w:color w:val="666666"/>
          <w:spacing w:val="0"/>
          <w:sz w:val="36"/>
          <w:szCs w:val="36"/>
          <w:lang w:eastAsia="zh-CN"/>
        </w:rPr>
        <w:t>四、网络架构安全</w:t>
      </w:r>
    </w:p>
    <w:p>
      <w:pPr>
        <w:numPr>
          <w:ilvl w:val="0"/>
          <w:numId w:val="0"/>
        </w:numPr>
        <w:rPr>
          <w:rFonts w:hint="eastAsia" w:ascii="宋体" w:hAnsi="宋体" w:eastAsia="宋体" w:cs="宋体"/>
          <w:b w:val="0"/>
          <w:i w:val="0"/>
          <w:caps w:val="0"/>
          <w:color w:val="666666"/>
          <w:spacing w:val="0"/>
          <w:sz w:val="36"/>
          <w:szCs w:val="36"/>
          <w:lang w:eastAsia="zh-CN"/>
        </w:rPr>
      </w:pPr>
      <w:r>
        <w:rPr>
          <w:rFonts w:hint="eastAsia" w:ascii="宋体" w:hAnsi="宋体" w:eastAsia="宋体" w:cs="宋体"/>
          <w:b w:val="0"/>
          <w:i w:val="0"/>
          <w:caps w:val="0"/>
          <w:color w:val="666666"/>
          <w:spacing w:val="0"/>
          <w:sz w:val="36"/>
          <w:szCs w:val="36"/>
          <w:lang w:eastAsia="zh-CN"/>
        </w:rPr>
        <w:t>（1）IDC关键网络设施（包括核心路由器、核心交换机及先关通信链路等）须具备必要地安全安全冗余措施。与因特网连接的IDC出口网络设施宜采取物理节点和物理链路冗余配置，避免单点单链路故障造成业务全阻。</w:t>
      </w:r>
    </w:p>
    <w:p>
      <w:pPr>
        <w:numPr>
          <w:ilvl w:val="0"/>
          <w:numId w:val="0"/>
        </w:numPr>
        <w:rPr>
          <w:rFonts w:hint="eastAsia" w:ascii="宋体" w:hAnsi="宋体" w:eastAsia="宋体" w:cs="宋体"/>
          <w:b w:val="0"/>
          <w:i w:val="0"/>
          <w:caps w:val="0"/>
          <w:color w:val="666666"/>
          <w:spacing w:val="0"/>
          <w:sz w:val="36"/>
          <w:szCs w:val="36"/>
          <w:lang w:eastAsia="zh-CN"/>
        </w:rPr>
      </w:pPr>
      <w:r>
        <w:rPr>
          <w:rFonts w:hint="eastAsia" w:ascii="宋体" w:hAnsi="宋体" w:eastAsia="宋体" w:cs="宋体"/>
          <w:b w:val="0"/>
          <w:i w:val="0"/>
          <w:caps w:val="0"/>
          <w:color w:val="666666"/>
          <w:spacing w:val="0"/>
          <w:sz w:val="36"/>
          <w:szCs w:val="36"/>
          <w:lang w:eastAsia="zh-CN"/>
        </w:rPr>
        <w:t>五、安防</w:t>
      </w:r>
    </w:p>
    <w:p>
      <w:pPr>
        <w:numPr>
          <w:ilvl w:val="0"/>
          <w:numId w:val="0"/>
        </w:numPr>
        <w:rPr>
          <w:rFonts w:hint="eastAsia" w:ascii="宋体" w:hAnsi="宋体" w:eastAsia="宋体" w:cs="宋体"/>
          <w:b w:val="0"/>
          <w:i w:val="0"/>
          <w:caps w:val="0"/>
          <w:color w:val="666666"/>
          <w:spacing w:val="0"/>
          <w:sz w:val="36"/>
          <w:szCs w:val="36"/>
          <w:lang w:eastAsia="zh-CN"/>
        </w:rPr>
      </w:pPr>
      <w:r>
        <w:rPr>
          <w:rFonts w:hint="eastAsia" w:ascii="宋体" w:hAnsi="宋体" w:eastAsia="宋体" w:cs="宋体"/>
          <w:b w:val="0"/>
          <w:i w:val="0"/>
          <w:caps w:val="0"/>
          <w:color w:val="666666"/>
          <w:spacing w:val="0"/>
          <w:sz w:val="36"/>
          <w:szCs w:val="36"/>
          <w:lang w:eastAsia="zh-CN"/>
        </w:rPr>
        <w:t>（1）IDC机房应设置安全防范系统。安全防系统宜由视频监控系统、入侵报警系统和出入口控制系统组成，各系统之间应具备联动控制功能。具备条件的机房，应实现主机房内、主机房出入口和监控中心的视频监视；主机房入口、监控中心配备门禁，电源机房配备门禁或入侵探测器。条件较差的机房，应实现监控中心和电源机房配置机械锁，主机房出入口配备机械锁和入侵探测器。</w:t>
      </w:r>
    </w:p>
    <w:p>
      <w:pPr>
        <w:numPr>
          <w:ilvl w:val="0"/>
          <w:numId w:val="0"/>
        </w:numPr>
        <w:rPr>
          <w:rFonts w:hint="eastAsia" w:ascii="宋体" w:hAnsi="宋体" w:eastAsia="宋体" w:cs="宋体"/>
          <w:b w:val="0"/>
          <w:i w:val="0"/>
          <w:caps w:val="0"/>
          <w:color w:val="666666"/>
          <w:spacing w:val="0"/>
          <w:sz w:val="36"/>
          <w:szCs w:val="36"/>
          <w:lang w:eastAsia="zh-CN"/>
        </w:rPr>
      </w:pPr>
      <w:r>
        <w:rPr>
          <w:rFonts w:hint="eastAsia" w:ascii="宋体" w:hAnsi="宋体" w:eastAsia="宋体" w:cs="宋体"/>
          <w:b w:val="0"/>
          <w:i w:val="0"/>
          <w:caps w:val="0"/>
          <w:color w:val="666666"/>
          <w:spacing w:val="0"/>
          <w:sz w:val="36"/>
          <w:szCs w:val="36"/>
          <w:lang w:eastAsia="zh-CN"/>
        </w:rPr>
        <w:t>（2）IDC机房应设置动力环境和设备监控系统。</w:t>
      </w:r>
    </w:p>
    <w:p>
      <w:pPr>
        <w:numPr>
          <w:ilvl w:val="0"/>
          <w:numId w:val="0"/>
        </w:numPr>
        <w:rPr>
          <w:rFonts w:hint="eastAsia" w:ascii="宋体" w:hAnsi="宋体" w:eastAsia="宋体" w:cs="宋体"/>
          <w:b w:val="0"/>
          <w:i w:val="0"/>
          <w:caps w:val="0"/>
          <w:color w:val="666666"/>
          <w:spacing w:val="0"/>
          <w:sz w:val="36"/>
          <w:szCs w:val="36"/>
          <w:lang w:eastAsia="zh-CN"/>
        </w:rPr>
      </w:pPr>
      <w:r>
        <w:rPr>
          <w:rFonts w:hint="eastAsia" w:ascii="宋体" w:hAnsi="宋体" w:eastAsia="宋体" w:cs="宋体"/>
          <w:b w:val="0"/>
          <w:i w:val="0"/>
          <w:caps w:val="0"/>
          <w:color w:val="666666"/>
          <w:spacing w:val="0"/>
          <w:sz w:val="36"/>
          <w:szCs w:val="36"/>
          <w:lang w:eastAsia="zh-CN"/>
        </w:rPr>
        <w:t>六、消防安全</w:t>
      </w:r>
    </w:p>
    <w:p>
      <w:pPr>
        <w:numPr>
          <w:ilvl w:val="0"/>
          <w:numId w:val="0"/>
        </w:numPr>
        <w:rPr>
          <w:rFonts w:hint="eastAsia" w:ascii="宋体" w:hAnsi="宋体" w:eastAsia="宋体" w:cs="宋体"/>
          <w:b w:val="0"/>
          <w:i w:val="0"/>
          <w:caps w:val="0"/>
          <w:color w:val="666666"/>
          <w:spacing w:val="0"/>
          <w:sz w:val="36"/>
          <w:szCs w:val="36"/>
          <w:lang w:eastAsia="zh-CN"/>
        </w:rPr>
      </w:pPr>
      <w:r>
        <w:rPr>
          <w:rFonts w:hint="eastAsia" w:ascii="宋体" w:hAnsi="宋体" w:eastAsia="宋体" w:cs="宋体"/>
          <w:b w:val="0"/>
          <w:i w:val="0"/>
          <w:caps w:val="0"/>
          <w:color w:val="666666"/>
          <w:spacing w:val="0"/>
          <w:sz w:val="36"/>
          <w:szCs w:val="36"/>
          <w:lang w:eastAsia="zh-CN"/>
        </w:rPr>
        <w:t>（1）IDC机房应当配置火灾自动报警系统和灭火系统等消防设置和器材，设置消防安全标志。</w:t>
      </w:r>
    </w:p>
    <w:p>
      <w:pPr>
        <w:numPr>
          <w:ilvl w:val="0"/>
          <w:numId w:val="0"/>
        </w:numPr>
        <w:rPr>
          <w:rFonts w:hint="eastAsia" w:ascii="宋体" w:hAnsi="宋体" w:eastAsia="宋体" w:cs="宋体"/>
          <w:b w:val="0"/>
          <w:i w:val="0"/>
          <w:caps w:val="0"/>
          <w:color w:val="666666"/>
          <w:spacing w:val="0"/>
          <w:sz w:val="36"/>
          <w:szCs w:val="36"/>
          <w:lang w:eastAsia="zh-CN"/>
        </w:rPr>
      </w:pPr>
      <w:r>
        <w:rPr>
          <w:rFonts w:hint="eastAsia" w:ascii="宋体" w:hAnsi="宋体" w:eastAsia="宋体" w:cs="宋体"/>
          <w:b w:val="0"/>
          <w:i w:val="0"/>
          <w:caps w:val="0"/>
          <w:color w:val="666666"/>
          <w:spacing w:val="0"/>
          <w:sz w:val="36"/>
          <w:szCs w:val="36"/>
          <w:lang w:eastAsia="zh-CN"/>
        </w:rPr>
        <w:t>（2）应当建立消防监控平台，对IDC内的报警、灭火等系统进行集中监控。消防监控系统应当监控IDC消防设施系统分部信息，建立日常消防安全管理日志，将IDC机房的日常防火管理信息自动记录到系统中。</w:t>
      </w:r>
    </w:p>
    <w:p>
      <w:pPr>
        <w:numPr>
          <w:ilvl w:val="0"/>
          <w:numId w:val="0"/>
        </w:numPr>
        <w:rPr>
          <w:rFonts w:hint="eastAsia" w:ascii="宋体" w:hAnsi="宋体" w:eastAsia="宋体" w:cs="宋体"/>
          <w:b w:val="0"/>
          <w:i w:val="0"/>
          <w:caps w:val="0"/>
          <w:color w:val="666666"/>
          <w:spacing w:val="0"/>
          <w:sz w:val="36"/>
          <w:szCs w:val="36"/>
          <w:lang w:eastAsia="zh-CN"/>
        </w:rPr>
      </w:pPr>
      <w:r>
        <w:rPr>
          <w:rFonts w:hint="eastAsia" w:ascii="宋体" w:hAnsi="宋体" w:eastAsia="宋体" w:cs="宋体"/>
          <w:b w:val="0"/>
          <w:i w:val="0"/>
          <w:caps w:val="0"/>
          <w:color w:val="666666"/>
          <w:spacing w:val="0"/>
          <w:sz w:val="36"/>
          <w:szCs w:val="36"/>
          <w:lang w:eastAsia="zh-CN"/>
        </w:rPr>
        <w:t>（3）IDC应当保持防火门的闭合状态，机房内的疏散走道、安全出口处应当设疏散指示标志和应急照明。</w:t>
      </w:r>
    </w:p>
    <w:p>
      <w:pPr>
        <w:numPr>
          <w:ilvl w:val="0"/>
          <w:numId w:val="0"/>
        </w:numPr>
        <w:rPr>
          <w:rFonts w:hint="eastAsia" w:ascii="宋体" w:hAnsi="宋体" w:eastAsia="宋体" w:cs="宋体"/>
          <w:b w:val="0"/>
          <w:i w:val="0"/>
          <w:caps w:val="0"/>
          <w:color w:val="666666"/>
          <w:spacing w:val="0"/>
          <w:sz w:val="36"/>
          <w:szCs w:val="36"/>
          <w:lang w:eastAsia="zh-CN"/>
        </w:rPr>
      </w:pPr>
      <w:r>
        <w:rPr>
          <w:rFonts w:hint="eastAsia" w:ascii="宋体" w:hAnsi="宋体" w:eastAsia="宋体" w:cs="宋体"/>
          <w:b w:val="0"/>
          <w:i w:val="0"/>
          <w:caps w:val="0"/>
          <w:color w:val="666666"/>
          <w:spacing w:val="0"/>
          <w:sz w:val="36"/>
          <w:szCs w:val="36"/>
          <w:lang w:eastAsia="zh-CN"/>
        </w:rPr>
        <w:t>七、内部环境安全</w:t>
      </w:r>
    </w:p>
    <w:p>
      <w:pPr>
        <w:numPr>
          <w:ilvl w:val="0"/>
          <w:numId w:val="0"/>
        </w:numPr>
        <w:rPr>
          <w:rFonts w:hint="eastAsia" w:ascii="宋体" w:hAnsi="宋体" w:eastAsia="宋体" w:cs="宋体"/>
          <w:b w:val="0"/>
          <w:i w:val="0"/>
          <w:caps w:val="0"/>
          <w:color w:val="666666"/>
          <w:spacing w:val="0"/>
          <w:sz w:val="36"/>
          <w:szCs w:val="36"/>
          <w:lang w:eastAsia="zh-CN"/>
        </w:rPr>
      </w:pPr>
      <w:r>
        <w:rPr>
          <w:rFonts w:hint="eastAsia" w:ascii="宋体" w:hAnsi="宋体" w:eastAsia="宋体" w:cs="宋体"/>
          <w:b w:val="0"/>
          <w:i w:val="0"/>
          <w:caps w:val="0"/>
          <w:color w:val="666666"/>
          <w:spacing w:val="0"/>
          <w:sz w:val="36"/>
          <w:szCs w:val="36"/>
          <w:lang w:eastAsia="zh-CN"/>
        </w:rPr>
        <w:t>（1）主机房开机温度：18℃-28℃；主机房停机温度：5℃-35℃。</w:t>
      </w:r>
    </w:p>
    <w:p>
      <w:pPr>
        <w:numPr>
          <w:ilvl w:val="0"/>
          <w:numId w:val="0"/>
        </w:numPr>
        <w:rPr>
          <w:rFonts w:hint="eastAsia" w:ascii="宋体" w:hAnsi="宋体" w:eastAsia="宋体" w:cs="宋体"/>
          <w:b w:val="0"/>
          <w:i w:val="0"/>
          <w:caps w:val="0"/>
          <w:color w:val="666666"/>
          <w:spacing w:val="0"/>
          <w:sz w:val="36"/>
          <w:szCs w:val="36"/>
          <w:lang w:eastAsia="zh-CN"/>
        </w:rPr>
      </w:pPr>
      <w:r>
        <w:rPr>
          <w:rFonts w:hint="eastAsia" w:ascii="宋体" w:hAnsi="宋体" w:eastAsia="宋体" w:cs="宋体"/>
          <w:b w:val="0"/>
          <w:i w:val="0"/>
          <w:caps w:val="0"/>
          <w:color w:val="666666"/>
          <w:spacing w:val="0"/>
          <w:sz w:val="36"/>
          <w:szCs w:val="36"/>
          <w:lang w:eastAsia="zh-CN"/>
        </w:rPr>
        <w:t>（2）主机房开机湿度：35%-75%；主机房停机湿度：20&amp;-80%。</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83A17"/>
    <w:multiLevelType w:val="singleLevel"/>
    <w:tmpl w:val="58183A17"/>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8B27F4"/>
    <w:rsid w:val="3DCA130B"/>
    <w:rsid w:val="71FD249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2016-11-01T06:45:00Z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